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7F" w:rsidRDefault="008C177F" w:rsidP="00211870">
      <w:pPr>
        <w:ind w:right="850"/>
        <w:jc w:val="both"/>
        <w:rPr>
          <w:rFonts w:ascii="Arial" w:hAnsi="Arial" w:cs="Calibri"/>
          <w:b/>
          <w:sz w:val="32"/>
          <w:szCs w:val="28"/>
        </w:rPr>
      </w:pPr>
    </w:p>
    <w:p w:rsidR="006013EF" w:rsidRDefault="006013EF" w:rsidP="006013EF">
      <w:pPr>
        <w:ind w:right="850"/>
        <w:jc w:val="both"/>
        <w:rPr>
          <w:rFonts w:ascii="Arial" w:hAnsi="Arial" w:cs="Calibri"/>
          <w:b/>
          <w:sz w:val="32"/>
          <w:szCs w:val="28"/>
        </w:rPr>
      </w:pPr>
      <w:r w:rsidRPr="0009249E">
        <w:rPr>
          <w:rFonts w:ascii="Arial" w:hAnsi="Arial" w:cs="Calibri"/>
          <w:b/>
          <w:sz w:val="32"/>
          <w:szCs w:val="28"/>
        </w:rPr>
        <w:t>Human Age Institute y</w:t>
      </w:r>
      <w:r>
        <w:rPr>
          <w:rFonts w:ascii="Arial" w:hAnsi="Arial" w:cs="Calibri"/>
          <w:b/>
          <w:sz w:val="32"/>
          <w:szCs w:val="28"/>
        </w:rPr>
        <w:t xml:space="preserve"> </w:t>
      </w:r>
      <w:r w:rsidRPr="0009249E">
        <w:rPr>
          <w:rFonts w:ascii="Arial" w:hAnsi="Arial" w:cs="Calibri"/>
          <w:b/>
          <w:sz w:val="32"/>
          <w:szCs w:val="28"/>
        </w:rPr>
        <w:t xml:space="preserve">Loyola Andalucía </w:t>
      </w:r>
      <w:r>
        <w:rPr>
          <w:rFonts w:ascii="Arial" w:hAnsi="Arial" w:cs="Calibri"/>
          <w:b/>
          <w:sz w:val="32"/>
          <w:szCs w:val="28"/>
        </w:rPr>
        <w:t>inauguran su oficina para impulsar el talento para universitarios</w:t>
      </w:r>
    </w:p>
    <w:p w:rsidR="006013EF" w:rsidRDefault="006013EF" w:rsidP="006013EF">
      <w:pPr>
        <w:ind w:right="1417"/>
        <w:jc w:val="center"/>
        <w:rPr>
          <w:rFonts w:ascii="Arial" w:hAnsi="Arial" w:cs="Calibri"/>
          <w:b/>
          <w:sz w:val="32"/>
          <w:szCs w:val="28"/>
        </w:rPr>
      </w:pPr>
    </w:p>
    <w:p w:rsidR="006013EF" w:rsidRDefault="006013EF" w:rsidP="006013EF">
      <w:pPr>
        <w:pStyle w:val="Prrafodelista"/>
        <w:numPr>
          <w:ilvl w:val="0"/>
          <w:numId w:val="2"/>
        </w:numPr>
        <w:ind w:right="1417"/>
        <w:jc w:val="both"/>
        <w:rPr>
          <w:rFonts w:ascii="Arial" w:hAnsi="Arial" w:cs="Arial"/>
          <w:b/>
          <w:sz w:val="24"/>
          <w:szCs w:val="24"/>
        </w:rPr>
      </w:pPr>
      <w:r w:rsidRPr="002418D0">
        <w:rPr>
          <w:rFonts w:ascii="Arial" w:hAnsi="Arial" w:cs="Arial"/>
          <w:b/>
          <w:sz w:val="24"/>
          <w:szCs w:val="24"/>
        </w:rPr>
        <w:t>El ‘Espacio Human Age Institute - Loyola</w:t>
      </w:r>
      <w:r>
        <w:rPr>
          <w:rFonts w:ascii="Arial" w:hAnsi="Arial" w:cs="Arial"/>
          <w:b/>
          <w:sz w:val="24"/>
          <w:szCs w:val="24"/>
        </w:rPr>
        <w:t>’, ubicado en el campus de Sevilla, es el segundo de este tipo existente en España y el primero en Andalucía</w:t>
      </w:r>
    </w:p>
    <w:p w:rsidR="006013EF" w:rsidRDefault="006013EF" w:rsidP="006013EF">
      <w:pPr>
        <w:pStyle w:val="Prrafodelista"/>
        <w:ind w:right="1417"/>
        <w:jc w:val="both"/>
        <w:rPr>
          <w:rFonts w:ascii="Arial" w:hAnsi="Arial" w:cs="Arial"/>
          <w:b/>
          <w:sz w:val="24"/>
          <w:szCs w:val="24"/>
        </w:rPr>
      </w:pPr>
    </w:p>
    <w:p w:rsidR="006013EF" w:rsidRPr="009F6597" w:rsidRDefault="006013EF" w:rsidP="006013EF">
      <w:pPr>
        <w:pStyle w:val="Prrafodelista"/>
        <w:numPr>
          <w:ilvl w:val="0"/>
          <w:numId w:val="2"/>
        </w:numPr>
        <w:ind w:right="1417"/>
        <w:jc w:val="both"/>
        <w:rPr>
          <w:rFonts w:ascii="Arial" w:hAnsi="Arial" w:cs="Arial"/>
          <w:b/>
          <w:sz w:val="24"/>
          <w:szCs w:val="24"/>
        </w:rPr>
      </w:pPr>
      <w:r>
        <w:rPr>
          <w:rFonts w:ascii="Arial" w:hAnsi="Arial" w:cs="Arial"/>
          <w:b/>
          <w:sz w:val="24"/>
          <w:szCs w:val="24"/>
        </w:rPr>
        <w:t xml:space="preserve">Desde este espacio se </w:t>
      </w:r>
      <w:r w:rsidRPr="009F6597">
        <w:rPr>
          <w:rFonts w:ascii="Arial" w:hAnsi="Arial" w:cs="Arial"/>
          <w:b/>
          <w:sz w:val="24"/>
          <w:szCs w:val="24"/>
        </w:rPr>
        <w:t>realizará</w:t>
      </w:r>
      <w:r>
        <w:rPr>
          <w:rFonts w:ascii="Arial" w:hAnsi="Arial" w:cs="Arial"/>
          <w:b/>
          <w:sz w:val="24"/>
          <w:szCs w:val="24"/>
        </w:rPr>
        <w:t>n</w:t>
      </w:r>
      <w:r w:rsidRPr="009F6597">
        <w:rPr>
          <w:rFonts w:ascii="Arial" w:hAnsi="Arial" w:cs="Arial"/>
          <w:b/>
          <w:sz w:val="24"/>
          <w:szCs w:val="24"/>
        </w:rPr>
        <w:t xml:space="preserve"> tareas de asesoramiento, acompañamiento y orientación para potenciar la </w:t>
      </w:r>
      <w:proofErr w:type="spellStart"/>
      <w:r w:rsidRPr="009F6597">
        <w:rPr>
          <w:rFonts w:ascii="Arial" w:hAnsi="Arial" w:cs="Arial"/>
          <w:b/>
          <w:sz w:val="24"/>
          <w:szCs w:val="24"/>
        </w:rPr>
        <w:t>empleabilidad</w:t>
      </w:r>
      <w:proofErr w:type="spellEnd"/>
      <w:r w:rsidRPr="009F6597">
        <w:rPr>
          <w:rFonts w:ascii="Arial" w:hAnsi="Arial" w:cs="Arial"/>
          <w:b/>
          <w:sz w:val="24"/>
          <w:szCs w:val="24"/>
        </w:rPr>
        <w:t xml:space="preserve"> del alumnado de grado, posgrado y antiguos alumnos</w:t>
      </w:r>
    </w:p>
    <w:p w:rsidR="006013EF" w:rsidRPr="009F6597" w:rsidRDefault="006013EF" w:rsidP="006013EF">
      <w:pPr>
        <w:ind w:left="360" w:right="1417"/>
        <w:jc w:val="both"/>
        <w:rPr>
          <w:rFonts w:ascii="Arial" w:hAnsi="Arial" w:cs="Arial"/>
          <w:b/>
          <w:sz w:val="24"/>
          <w:szCs w:val="24"/>
        </w:rPr>
      </w:pPr>
    </w:p>
    <w:p w:rsidR="006013EF" w:rsidRPr="002418D0" w:rsidRDefault="006013EF" w:rsidP="006013EF">
      <w:pPr>
        <w:ind w:right="1417"/>
        <w:jc w:val="both"/>
        <w:rPr>
          <w:rFonts w:ascii="Arial" w:hAnsi="Arial" w:cs="Arial"/>
          <w:color w:val="808080"/>
          <w:sz w:val="24"/>
          <w:szCs w:val="24"/>
        </w:rPr>
      </w:pPr>
    </w:p>
    <w:p w:rsidR="006013EF" w:rsidRDefault="006013EF" w:rsidP="006013EF">
      <w:pPr>
        <w:ind w:right="850"/>
        <w:jc w:val="both"/>
        <w:rPr>
          <w:rFonts w:ascii="Arial" w:hAnsi="Arial" w:cs="Arial"/>
          <w:sz w:val="24"/>
          <w:szCs w:val="24"/>
        </w:rPr>
      </w:pPr>
      <w:r w:rsidRPr="002418D0">
        <w:rPr>
          <w:rFonts w:ascii="Arial" w:hAnsi="Arial" w:cs="Arial"/>
          <w:b/>
          <w:sz w:val="24"/>
          <w:szCs w:val="24"/>
        </w:rPr>
        <w:t xml:space="preserve">Sevilla, </w:t>
      </w:r>
      <w:r w:rsidR="00AF79D8">
        <w:rPr>
          <w:rFonts w:ascii="Arial" w:hAnsi="Arial" w:cs="Arial"/>
          <w:b/>
          <w:sz w:val="24"/>
          <w:szCs w:val="24"/>
        </w:rPr>
        <w:t>30</w:t>
      </w:r>
      <w:r>
        <w:rPr>
          <w:rFonts w:ascii="Arial" w:hAnsi="Arial" w:cs="Arial"/>
          <w:b/>
          <w:sz w:val="24"/>
          <w:szCs w:val="24"/>
        </w:rPr>
        <w:t xml:space="preserve"> de noviembre</w:t>
      </w:r>
      <w:r w:rsidRPr="002418D0">
        <w:rPr>
          <w:rFonts w:ascii="Arial" w:hAnsi="Arial" w:cs="Arial"/>
          <w:b/>
          <w:sz w:val="24"/>
          <w:szCs w:val="24"/>
        </w:rPr>
        <w:t xml:space="preserve"> de 2016.</w:t>
      </w:r>
      <w:r w:rsidRPr="002418D0">
        <w:rPr>
          <w:rFonts w:ascii="Arial" w:hAnsi="Arial" w:cs="Arial"/>
          <w:sz w:val="24"/>
          <w:szCs w:val="24"/>
        </w:rPr>
        <w:t xml:space="preserve"> </w:t>
      </w:r>
      <w:r>
        <w:rPr>
          <w:rFonts w:ascii="Arial" w:hAnsi="Arial" w:cs="Arial"/>
          <w:sz w:val="24"/>
          <w:szCs w:val="24"/>
        </w:rPr>
        <w:t xml:space="preserve">El rector de la </w:t>
      </w:r>
      <w:r w:rsidRPr="002418D0">
        <w:rPr>
          <w:rFonts w:ascii="Arial" w:hAnsi="Arial" w:cs="Arial"/>
          <w:sz w:val="24"/>
          <w:szCs w:val="24"/>
        </w:rPr>
        <w:t>Universidad Loyola Andalucía</w:t>
      </w:r>
      <w:r>
        <w:rPr>
          <w:rFonts w:ascii="Arial" w:hAnsi="Arial" w:cs="Arial"/>
          <w:sz w:val="24"/>
          <w:szCs w:val="24"/>
        </w:rPr>
        <w:t>, Gabriel Pérez Alcalá, y el presidente de ManpowerGroup y presidente de</w:t>
      </w:r>
      <w:r w:rsidRPr="002418D0">
        <w:rPr>
          <w:rFonts w:ascii="Arial" w:hAnsi="Arial" w:cs="Arial"/>
          <w:sz w:val="24"/>
          <w:szCs w:val="24"/>
        </w:rPr>
        <w:t xml:space="preserve"> Human Age Institute</w:t>
      </w:r>
      <w:r>
        <w:rPr>
          <w:rFonts w:ascii="Arial" w:hAnsi="Arial" w:cs="Arial"/>
          <w:sz w:val="24"/>
          <w:szCs w:val="24"/>
        </w:rPr>
        <w:t xml:space="preserve">, Raúl </w:t>
      </w:r>
      <w:proofErr w:type="spellStart"/>
      <w:r>
        <w:rPr>
          <w:rFonts w:ascii="Arial" w:hAnsi="Arial" w:cs="Arial"/>
          <w:sz w:val="24"/>
          <w:szCs w:val="24"/>
        </w:rPr>
        <w:t>Grijalba</w:t>
      </w:r>
      <w:proofErr w:type="spellEnd"/>
      <w:r>
        <w:rPr>
          <w:rFonts w:ascii="Arial" w:hAnsi="Arial" w:cs="Arial"/>
          <w:sz w:val="24"/>
          <w:szCs w:val="24"/>
        </w:rPr>
        <w:t xml:space="preserve">, </w:t>
      </w:r>
      <w:r w:rsidR="00AF79D8">
        <w:rPr>
          <w:rFonts w:ascii="Arial" w:hAnsi="Arial" w:cs="Arial"/>
          <w:sz w:val="24"/>
          <w:szCs w:val="24"/>
        </w:rPr>
        <w:t>inauguraron este martes 29 de noviembre</w:t>
      </w:r>
      <w:r>
        <w:rPr>
          <w:rFonts w:ascii="Arial" w:hAnsi="Arial" w:cs="Arial"/>
          <w:sz w:val="24"/>
          <w:szCs w:val="24"/>
        </w:rPr>
        <w:t xml:space="preserve"> el ‘Espacio Human Age Institute-Loyola’</w:t>
      </w:r>
      <w:r w:rsidR="00AF79D8">
        <w:rPr>
          <w:rFonts w:ascii="Arial" w:hAnsi="Arial" w:cs="Arial"/>
          <w:sz w:val="24"/>
          <w:szCs w:val="24"/>
        </w:rPr>
        <w:t>, situado en el Campus de Sevilla</w:t>
      </w:r>
      <w:r>
        <w:rPr>
          <w:rFonts w:ascii="Arial" w:hAnsi="Arial" w:cs="Arial"/>
          <w:sz w:val="24"/>
          <w:szCs w:val="24"/>
        </w:rPr>
        <w:t>, una oficina diseñada para impulsar el Talento universitario. El objetivo de dicho espacio, el segundo de su categoría en España y el primero en A</w:t>
      </w:r>
      <w:r w:rsidR="00AF79D8">
        <w:rPr>
          <w:rFonts w:ascii="Arial" w:hAnsi="Arial" w:cs="Arial"/>
          <w:sz w:val="24"/>
          <w:szCs w:val="24"/>
        </w:rPr>
        <w:t>ndalucía, es proporcionar orien</w:t>
      </w:r>
      <w:r>
        <w:rPr>
          <w:rFonts w:ascii="Arial" w:hAnsi="Arial" w:cs="Arial"/>
          <w:sz w:val="24"/>
          <w:szCs w:val="24"/>
        </w:rPr>
        <w:t xml:space="preserve">tación, herramientas y recursos a los jóvenes en sus estudios universitarios para que así puedan afrontar con mayores garantías su entrada al mercado laboral y contribuir a mejorar su </w:t>
      </w:r>
      <w:proofErr w:type="spellStart"/>
      <w:r>
        <w:rPr>
          <w:rFonts w:ascii="Arial" w:hAnsi="Arial" w:cs="Arial"/>
          <w:sz w:val="24"/>
          <w:szCs w:val="24"/>
        </w:rPr>
        <w:t>empleabilidad</w:t>
      </w:r>
      <w:proofErr w:type="spellEnd"/>
      <w:r>
        <w:rPr>
          <w:rFonts w:ascii="Arial" w:hAnsi="Arial" w:cs="Arial"/>
          <w:sz w:val="24"/>
          <w:szCs w:val="24"/>
        </w:rPr>
        <w:t>.</w:t>
      </w:r>
    </w:p>
    <w:p w:rsidR="006013EF" w:rsidRPr="002418D0" w:rsidRDefault="006013EF" w:rsidP="006013EF">
      <w:pPr>
        <w:ind w:right="850"/>
        <w:jc w:val="both"/>
        <w:rPr>
          <w:rFonts w:ascii="Arial" w:hAnsi="Arial" w:cs="Arial"/>
          <w:sz w:val="24"/>
          <w:szCs w:val="24"/>
        </w:rPr>
      </w:pPr>
    </w:p>
    <w:p w:rsidR="006013EF" w:rsidRDefault="006013EF" w:rsidP="006013EF">
      <w:pPr>
        <w:ind w:right="850"/>
        <w:jc w:val="both"/>
        <w:rPr>
          <w:rFonts w:ascii="Arial" w:hAnsi="Arial" w:cs="Arial"/>
          <w:sz w:val="24"/>
          <w:szCs w:val="24"/>
        </w:rPr>
      </w:pPr>
      <w:r>
        <w:rPr>
          <w:rFonts w:ascii="Arial" w:hAnsi="Arial" w:cs="Arial"/>
          <w:sz w:val="24"/>
          <w:szCs w:val="24"/>
        </w:rPr>
        <w:t xml:space="preserve">Para el rector, Gabriel Pérez Alcalá, “la creación de este espacio supone el cumplimiento de un sueño que tuvimos desde el inicio de la puesta en marcha de la Universidad, ya que uno de los pilares fundamentales de la formación de nuestros estudiantes es potenciar su talento para que sirvan como capital humano al conjunto de empresas e instituciones que componen nuestro tejido social”. </w:t>
      </w:r>
    </w:p>
    <w:p w:rsidR="006013EF" w:rsidRDefault="006013EF" w:rsidP="006013EF">
      <w:pPr>
        <w:ind w:right="850"/>
        <w:jc w:val="both"/>
        <w:rPr>
          <w:rFonts w:ascii="Arial" w:hAnsi="Arial" w:cs="Arial"/>
          <w:sz w:val="24"/>
          <w:szCs w:val="24"/>
        </w:rPr>
      </w:pPr>
    </w:p>
    <w:p w:rsidR="006013EF" w:rsidRDefault="006013EF" w:rsidP="006013EF">
      <w:pPr>
        <w:ind w:right="850"/>
        <w:jc w:val="both"/>
        <w:rPr>
          <w:rFonts w:ascii="Arial" w:hAnsi="Arial" w:cs="Arial"/>
          <w:sz w:val="24"/>
          <w:szCs w:val="24"/>
        </w:rPr>
      </w:pPr>
      <w:r>
        <w:rPr>
          <w:rFonts w:ascii="Arial" w:hAnsi="Arial" w:cs="Arial"/>
          <w:sz w:val="24"/>
          <w:szCs w:val="24"/>
        </w:rPr>
        <w:t>En este sentido, Pérez Alcalá ha asegurado que “este espacio es la mejor forma de cumplir ese sueño puesto que es una puerta de entrada para nuestros estudiantes hacia ese al mercado laboral que les proporcionará una carrera profesional a lo largo de su vida”.</w:t>
      </w:r>
    </w:p>
    <w:p w:rsidR="006013EF" w:rsidRDefault="006013EF" w:rsidP="006013EF">
      <w:pPr>
        <w:ind w:right="850"/>
        <w:jc w:val="both"/>
        <w:rPr>
          <w:rFonts w:ascii="Arial" w:hAnsi="Arial" w:cs="Arial"/>
          <w:sz w:val="24"/>
          <w:szCs w:val="24"/>
        </w:rPr>
      </w:pPr>
    </w:p>
    <w:p w:rsidR="006013EF" w:rsidRDefault="006013EF" w:rsidP="006013EF">
      <w:pPr>
        <w:ind w:right="850"/>
        <w:jc w:val="both"/>
        <w:rPr>
          <w:rFonts w:ascii="Arial" w:hAnsi="Arial" w:cs="Arial"/>
          <w:sz w:val="24"/>
          <w:szCs w:val="24"/>
        </w:rPr>
      </w:pPr>
      <w:r w:rsidRPr="004C7F80">
        <w:rPr>
          <w:rFonts w:ascii="Arial" w:hAnsi="Arial" w:cs="Arial"/>
          <w:sz w:val="24"/>
          <w:szCs w:val="24"/>
        </w:rPr>
        <w:t xml:space="preserve">Por su parte, Raúl </w:t>
      </w:r>
      <w:proofErr w:type="spellStart"/>
      <w:r w:rsidRPr="004C7F80">
        <w:rPr>
          <w:rFonts w:ascii="Arial" w:hAnsi="Arial" w:cs="Arial"/>
          <w:sz w:val="24"/>
          <w:szCs w:val="24"/>
        </w:rPr>
        <w:t>Grijalba</w:t>
      </w:r>
      <w:proofErr w:type="spellEnd"/>
      <w:r>
        <w:rPr>
          <w:rFonts w:ascii="Arial" w:hAnsi="Arial" w:cs="Arial"/>
          <w:sz w:val="24"/>
          <w:szCs w:val="24"/>
        </w:rPr>
        <w:t xml:space="preserve"> ha subrayado que Human Age Institute “nació hace dos años con un doble objetivo: comprometer y desarrollar el talento y ser nexo de unión entre el mundo educativo y el del empleo”. Por ello, afirma que, gracias a este espacio, será posible “facilitar a miles de jóvenes esta conexión con el mercado laboral y ayudarles a desarrollar sus habilidades y su talento para que así sean capaces de dar lo mejor de sí mismos”.</w:t>
      </w:r>
    </w:p>
    <w:p w:rsidR="006013EF" w:rsidRDefault="006013EF" w:rsidP="006013EF">
      <w:pPr>
        <w:ind w:right="850"/>
        <w:jc w:val="both"/>
        <w:rPr>
          <w:rFonts w:ascii="Arial" w:hAnsi="Arial" w:cs="Arial"/>
          <w:sz w:val="24"/>
          <w:szCs w:val="24"/>
        </w:rPr>
      </w:pPr>
    </w:p>
    <w:p w:rsidR="006013EF" w:rsidRPr="005E2C8B" w:rsidRDefault="006013EF" w:rsidP="006013EF">
      <w:pPr>
        <w:ind w:right="850"/>
        <w:jc w:val="both"/>
        <w:rPr>
          <w:rFonts w:ascii="Arial" w:hAnsi="Arial" w:cs="Arial"/>
          <w:b/>
          <w:sz w:val="24"/>
          <w:szCs w:val="24"/>
        </w:rPr>
      </w:pPr>
      <w:r w:rsidRPr="005E2C8B">
        <w:rPr>
          <w:rFonts w:ascii="Arial" w:hAnsi="Arial" w:cs="Arial"/>
          <w:b/>
          <w:sz w:val="24"/>
          <w:szCs w:val="24"/>
        </w:rPr>
        <w:t>¿Cómo decidimos?</w:t>
      </w:r>
    </w:p>
    <w:p w:rsidR="006013EF" w:rsidRDefault="006013EF" w:rsidP="006013EF">
      <w:pPr>
        <w:ind w:right="850"/>
        <w:jc w:val="both"/>
        <w:rPr>
          <w:rFonts w:ascii="Arial" w:hAnsi="Arial" w:cs="Arial"/>
          <w:sz w:val="24"/>
          <w:szCs w:val="24"/>
        </w:rPr>
      </w:pPr>
    </w:p>
    <w:p w:rsidR="006013EF" w:rsidRDefault="006013EF" w:rsidP="006013EF">
      <w:pPr>
        <w:ind w:right="850"/>
        <w:jc w:val="both"/>
        <w:rPr>
          <w:rFonts w:ascii="Arial" w:hAnsi="Arial" w:cs="Arial"/>
          <w:sz w:val="24"/>
          <w:szCs w:val="24"/>
        </w:rPr>
      </w:pPr>
      <w:r>
        <w:rPr>
          <w:rFonts w:ascii="Arial" w:hAnsi="Arial" w:cs="Arial"/>
          <w:sz w:val="24"/>
          <w:szCs w:val="24"/>
        </w:rPr>
        <w:t xml:space="preserve">El acto inaugural ha contado con la intervención de Fernando Trías de Bes, mentor del área de Creatividad e Innovación de Human Age Institute, con una </w:t>
      </w:r>
      <w:proofErr w:type="spellStart"/>
      <w:r>
        <w:rPr>
          <w:rFonts w:ascii="Arial" w:hAnsi="Arial" w:cs="Arial"/>
          <w:sz w:val="24"/>
          <w:szCs w:val="24"/>
        </w:rPr>
        <w:t>masterclass</w:t>
      </w:r>
      <w:proofErr w:type="spellEnd"/>
      <w:r>
        <w:rPr>
          <w:rFonts w:ascii="Arial" w:hAnsi="Arial" w:cs="Arial"/>
          <w:sz w:val="24"/>
          <w:szCs w:val="24"/>
        </w:rPr>
        <w:t xml:space="preserve"> sobre la toma de decisiones, “una competencia fundamental de los líderes a los </w:t>
      </w:r>
      <w:r>
        <w:rPr>
          <w:rFonts w:ascii="Arial" w:hAnsi="Arial" w:cs="Arial"/>
          <w:sz w:val="24"/>
          <w:szCs w:val="24"/>
        </w:rPr>
        <w:lastRenderedPageBreak/>
        <w:t xml:space="preserve">que estamos formando” según </w:t>
      </w:r>
      <w:r w:rsidR="00AF79D8">
        <w:rPr>
          <w:rFonts w:ascii="Arial" w:hAnsi="Arial" w:cs="Arial"/>
          <w:sz w:val="24"/>
          <w:szCs w:val="24"/>
        </w:rPr>
        <w:t>explicó</w:t>
      </w:r>
      <w:r>
        <w:rPr>
          <w:rFonts w:ascii="Arial" w:hAnsi="Arial" w:cs="Arial"/>
          <w:sz w:val="24"/>
          <w:szCs w:val="24"/>
        </w:rPr>
        <w:t xml:space="preserve">. </w:t>
      </w:r>
      <w:r w:rsidR="00AF79D8">
        <w:rPr>
          <w:rFonts w:ascii="Arial" w:hAnsi="Arial" w:cs="Arial"/>
          <w:sz w:val="24"/>
          <w:szCs w:val="24"/>
        </w:rPr>
        <w:t>P</w:t>
      </w:r>
      <w:r>
        <w:rPr>
          <w:rFonts w:ascii="Arial" w:hAnsi="Arial" w:cs="Arial"/>
          <w:sz w:val="24"/>
          <w:szCs w:val="24"/>
        </w:rPr>
        <w:t xml:space="preserve">ara Trías “aunque tenemos los conocimientos, las técnicas y la experiencia, no sabemos por qué decidimos de una determinada manera, o por qué a veces nos dejamos llevar más por la intuición”. Así, durante su </w:t>
      </w:r>
      <w:r w:rsidR="005A08B4">
        <w:rPr>
          <w:rFonts w:ascii="Arial" w:hAnsi="Arial" w:cs="Arial"/>
          <w:sz w:val="24"/>
          <w:szCs w:val="24"/>
        </w:rPr>
        <w:t>ponencia</w:t>
      </w:r>
      <w:r>
        <w:rPr>
          <w:rFonts w:ascii="Arial" w:hAnsi="Arial" w:cs="Arial"/>
          <w:sz w:val="24"/>
          <w:szCs w:val="24"/>
        </w:rPr>
        <w:t xml:space="preserve">, analizó diferentes tipologías de directivos a la hora de tomar decisiones y cuáles son las variables que lo explican, para que “podamos entender cuál es nuestro propio modelo y mejorarlo”. </w:t>
      </w:r>
    </w:p>
    <w:p w:rsidR="006013EF" w:rsidRDefault="006013EF" w:rsidP="006013EF">
      <w:pPr>
        <w:ind w:right="850"/>
        <w:jc w:val="both"/>
        <w:rPr>
          <w:rFonts w:ascii="Arial" w:hAnsi="Arial" w:cs="Arial"/>
          <w:sz w:val="24"/>
          <w:szCs w:val="24"/>
        </w:rPr>
      </w:pPr>
    </w:p>
    <w:p w:rsidR="006013EF" w:rsidRDefault="006013EF" w:rsidP="006013EF">
      <w:pPr>
        <w:ind w:right="850"/>
        <w:jc w:val="both"/>
        <w:rPr>
          <w:rFonts w:ascii="Arial" w:hAnsi="Arial" w:cs="Calibri"/>
          <w:sz w:val="24"/>
        </w:rPr>
      </w:pPr>
      <w:r>
        <w:rPr>
          <w:rFonts w:ascii="Arial" w:hAnsi="Arial" w:cs="Calibri"/>
          <w:sz w:val="24"/>
        </w:rPr>
        <w:t xml:space="preserve">El acto de inauguración </w:t>
      </w:r>
      <w:r w:rsidR="00AF79D8">
        <w:rPr>
          <w:rFonts w:ascii="Arial" w:hAnsi="Arial" w:cs="Calibri"/>
          <w:sz w:val="24"/>
        </w:rPr>
        <w:t xml:space="preserve">se completó </w:t>
      </w:r>
      <w:r>
        <w:rPr>
          <w:rFonts w:ascii="Arial" w:hAnsi="Arial" w:cs="Calibri"/>
          <w:sz w:val="24"/>
        </w:rPr>
        <w:t xml:space="preserve">con una mesa redonda moderada por Juan Carlos Cubeiro, </w:t>
      </w:r>
      <w:r w:rsidRPr="004364D5">
        <w:rPr>
          <w:rFonts w:ascii="Arial" w:hAnsi="Arial" w:cs="Calibri"/>
          <w:sz w:val="24"/>
        </w:rPr>
        <w:t xml:space="preserve">mentor del área de </w:t>
      </w:r>
      <w:proofErr w:type="spellStart"/>
      <w:r w:rsidRPr="004364D5">
        <w:rPr>
          <w:rFonts w:ascii="Arial" w:hAnsi="Arial" w:cs="Calibri"/>
          <w:sz w:val="24"/>
        </w:rPr>
        <w:t>Coaching</w:t>
      </w:r>
      <w:proofErr w:type="spellEnd"/>
      <w:r w:rsidRPr="004364D5">
        <w:rPr>
          <w:rFonts w:ascii="Arial" w:hAnsi="Arial" w:cs="Calibri"/>
          <w:sz w:val="24"/>
        </w:rPr>
        <w:t xml:space="preserve"> de Human Age Institute, </w:t>
      </w:r>
      <w:r>
        <w:rPr>
          <w:rFonts w:ascii="Arial" w:hAnsi="Arial" w:cs="Calibri"/>
          <w:sz w:val="24"/>
        </w:rPr>
        <w:t xml:space="preserve">con un tema común: </w:t>
      </w:r>
      <w:r w:rsidR="00AF79D8">
        <w:rPr>
          <w:rFonts w:ascii="Arial" w:hAnsi="Arial" w:cs="Calibri"/>
          <w:sz w:val="24"/>
        </w:rPr>
        <w:t xml:space="preserve">“Educación y generación de Talento”. </w:t>
      </w:r>
    </w:p>
    <w:p w:rsidR="00AF79D8" w:rsidRDefault="00AF79D8" w:rsidP="006013EF">
      <w:pPr>
        <w:ind w:right="850"/>
        <w:jc w:val="both"/>
        <w:rPr>
          <w:rFonts w:ascii="Arial" w:hAnsi="Arial" w:cs="Calibri"/>
          <w:sz w:val="24"/>
        </w:rPr>
      </w:pPr>
    </w:p>
    <w:p w:rsidR="006013EF" w:rsidRDefault="00AF79D8" w:rsidP="006013EF">
      <w:pPr>
        <w:ind w:right="850"/>
        <w:jc w:val="both"/>
        <w:rPr>
          <w:rFonts w:ascii="Arial" w:hAnsi="Arial" w:cs="Calibri"/>
          <w:sz w:val="24"/>
        </w:rPr>
      </w:pPr>
      <w:r w:rsidRPr="00AF4203">
        <w:rPr>
          <w:rFonts w:ascii="Arial" w:hAnsi="Arial" w:cs="Arial"/>
          <w:sz w:val="24"/>
          <w:szCs w:val="24"/>
        </w:rPr>
        <w:t xml:space="preserve">Teresa Valera, directora de Recursos Humanos de </w:t>
      </w:r>
      <w:proofErr w:type="spellStart"/>
      <w:r w:rsidRPr="00AF4203">
        <w:rPr>
          <w:rFonts w:ascii="Arial" w:hAnsi="Arial" w:cs="Arial"/>
          <w:sz w:val="24"/>
          <w:szCs w:val="24"/>
        </w:rPr>
        <w:t>Iturri</w:t>
      </w:r>
      <w:proofErr w:type="spellEnd"/>
      <w:r w:rsidRPr="00AF4203">
        <w:rPr>
          <w:rFonts w:ascii="Arial" w:hAnsi="Arial" w:cs="Arial"/>
          <w:sz w:val="24"/>
          <w:szCs w:val="24"/>
        </w:rPr>
        <w:t xml:space="preserve">; Sergio Gómez, responsable de Desarrollo de Talento de </w:t>
      </w:r>
      <w:proofErr w:type="spellStart"/>
      <w:r w:rsidRPr="00AF4203">
        <w:rPr>
          <w:rFonts w:ascii="Arial" w:hAnsi="Arial" w:cs="Arial"/>
          <w:sz w:val="24"/>
          <w:szCs w:val="24"/>
        </w:rPr>
        <w:t>Consentino</w:t>
      </w:r>
      <w:proofErr w:type="spellEnd"/>
      <w:r>
        <w:rPr>
          <w:rFonts w:ascii="Arial" w:hAnsi="Arial" w:cs="Arial"/>
          <w:sz w:val="24"/>
          <w:szCs w:val="24"/>
        </w:rPr>
        <w:t xml:space="preserve"> y Jesús Téllez, director de Recursos Humanos de la dirección territorial de Andalucía occidental de </w:t>
      </w:r>
      <w:proofErr w:type="spellStart"/>
      <w:r>
        <w:rPr>
          <w:rFonts w:ascii="Arial" w:hAnsi="Arial" w:cs="Arial"/>
          <w:sz w:val="24"/>
          <w:szCs w:val="24"/>
        </w:rPr>
        <w:t>Caixabank</w:t>
      </w:r>
      <w:proofErr w:type="spellEnd"/>
      <w:r>
        <w:rPr>
          <w:rFonts w:ascii="Arial" w:hAnsi="Arial" w:cs="Arial"/>
          <w:sz w:val="24"/>
          <w:szCs w:val="24"/>
        </w:rPr>
        <w:t xml:space="preserve">, </w:t>
      </w:r>
      <w:bookmarkStart w:id="0" w:name="_GoBack"/>
      <w:bookmarkEnd w:id="0"/>
      <w:r>
        <w:rPr>
          <w:rFonts w:ascii="Arial" w:hAnsi="Arial" w:cs="Calibri"/>
          <w:sz w:val="24"/>
        </w:rPr>
        <w:t xml:space="preserve">compartieron con los asistentes </w:t>
      </w:r>
      <w:r w:rsidR="006013EF">
        <w:rPr>
          <w:rFonts w:ascii="Arial" w:hAnsi="Arial" w:cs="Calibri"/>
          <w:sz w:val="24"/>
        </w:rPr>
        <w:t xml:space="preserve">sus mejores prácticas y sus experiencias para conseguir atraer talento, </w:t>
      </w:r>
      <w:proofErr w:type="spellStart"/>
      <w:r w:rsidR="006013EF">
        <w:rPr>
          <w:rFonts w:ascii="Arial" w:hAnsi="Arial" w:cs="Calibri"/>
          <w:sz w:val="24"/>
        </w:rPr>
        <w:t>fidelizarlo</w:t>
      </w:r>
      <w:proofErr w:type="spellEnd"/>
      <w:r w:rsidR="006013EF">
        <w:rPr>
          <w:rFonts w:ascii="Arial" w:hAnsi="Arial" w:cs="Calibri"/>
          <w:sz w:val="24"/>
        </w:rPr>
        <w:t xml:space="preserve"> desde un liderazgo efectivo e innovador, y sobre todo, para </w:t>
      </w:r>
      <w:r>
        <w:rPr>
          <w:rFonts w:ascii="Arial" w:hAnsi="Arial" w:cs="Calibri"/>
          <w:sz w:val="24"/>
        </w:rPr>
        <w:t>desarrollarlo de forma constante</w:t>
      </w:r>
      <w:r w:rsidR="006013EF">
        <w:rPr>
          <w:rFonts w:ascii="Arial" w:hAnsi="Arial" w:cs="Calibri"/>
          <w:sz w:val="24"/>
        </w:rPr>
        <w:t xml:space="preserve">, de </w:t>
      </w:r>
      <w:r>
        <w:rPr>
          <w:rFonts w:ascii="Arial" w:hAnsi="Arial" w:cs="Calibri"/>
          <w:sz w:val="24"/>
        </w:rPr>
        <w:t>tal modo</w:t>
      </w:r>
      <w:r w:rsidR="006013EF">
        <w:rPr>
          <w:rFonts w:ascii="Arial" w:hAnsi="Arial" w:cs="Calibri"/>
          <w:sz w:val="24"/>
        </w:rPr>
        <w:t xml:space="preserve"> que los profesionales se sientan muy identificados e involucrados en una experiencia única de </w:t>
      </w:r>
      <w:proofErr w:type="spellStart"/>
      <w:r w:rsidR="006013EF">
        <w:rPr>
          <w:rFonts w:ascii="Arial" w:hAnsi="Arial" w:cs="Calibri"/>
          <w:sz w:val="24"/>
        </w:rPr>
        <w:t>empleabilidad</w:t>
      </w:r>
      <w:proofErr w:type="spellEnd"/>
      <w:r w:rsidR="006013EF">
        <w:rPr>
          <w:rFonts w:ascii="Arial" w:hAnsi="Arial" w:cs="Calibri"/>
          <w:sz w:val="24"/>
        </w:rPr>
        <w:t xml:space="preserve"> en sus propias compañías. </w:t>
      </w:r>
    </w:p>
    <w:p w:rsidR="00AF79D8" w:rsidRDefault="00AF79D8" w:rsidP="006013EF">
      <w:pPr>
        <w:ind w:right="850"/>
        <w:jc w:val="both"/>
        <w:rPr>
          <w:rFonts w:ascii="Arial" w:hAnsi="Arial" w:cs="Calibri"/>
          <w:sz w:val="24"/>
        </w:rPr>
      </w:pPr>
    </w:p>
    <w:p w:rsidR="006013EF" w:rsidRDefault="006013EF" w:rsidP="006013EF">
      <w:pPr>
        <w:ind w:right="850"/>
        <w:jc w:val="both"/>
        <w:rPr>
          <w:rFonts w:ascii="Arial" w:hAnsi="Arial" w:cs="Calibri"/>
          <w:sz w:val="24"/>
        </w:rPr>
      </w:pPr>
      <w:r>
        <w:rPr>
          <w:rFonts w:ascii="Arial" w:hAnsi="Arial" w:cs="Calibri"/>
          <w:sz w:val="24"/>
        </w:rPr>
        <w:t xml:space="preserve">Asimismo, por la mañana, se </w:t>
      </w:r>
      <w:r w:rsidR="00AF79D8">
        <w:rPr>
          <w:rFonts w:ascii="Arial" w:hAnsi="Arial" w:cs="Calibri"/>
          <w:sz w:val="24"/>
        </w:rPr>
        <w:t>llevó a cabo</w:t>
      </w:r>
      <w:r>
        <w:rPr>
          <w:rFonts w:ascii="Arial" w:hAnsi="Arial" w:cs="Calibri"/>
          <w:sz w:val="24"/>
        </w:rPr>
        <w:t xml:space="preserve"> una presentación para el alumnado de grado y posgrado de Loyola Andalucía, con contenidos específicos para los estudiantes.</w:t>
      </w:r>
    </w:p>
    <w:p w:rsidR="006013EF" w:rsidRPr="005E2C8B" w:rsidRDefault="006013EF" w:rsidP="006013EF">
      <w:pPr>
        <w:ind w:right="850"/>
        <w:jc w:val="both"/>
        <w:rPr>
          <w:rFonts w:ascii="Arial" w:hAnsi="Arial" w:cs="Arial"/>
          <w:b/>
          <w:sz w:val="24"/>
          <w:szCs w:val="24"/>
        </w:rPr>
      </w:pPr>
    </w:p>
    <w:p w:rsidR="006013EF" w:rsidRPr="005E2C8B" w:rsidRDefault="00AF79D8" w:rsidP="006013EF">
      <w:pPr>
        <w:ind w:right="850"/>
        <w:jc w:val="both"/>
        <w:rPr>
          <w:rFonts w:ascii="Arial" w:hAnsi="Arial" w:cs="Arial"/>
          <w:b/>
          <w:sz w:val="24"/>
          <w:szCs w:val="24"/>
        </w:rPr>
      </w:pPr>
      <w:r>
        <w:rPr>
          <w:rFonts w:ascii="Arial" w:hAnsi="Arial" w:cs="Arial"/>
          <w:b/>
          <w:sz w:val="24"/>
          <w:szCs w:val="24"/>
        </w:rPr>
        <w:t>Espacio Human Age Institute-Loyola</w:t>
      </w:r>
    </w:p>
    <w:p w:rsidR="006013EF" w:rsidRDefault="006013EF" w:rsidP="006013EF">
      <w:pPr>
        <w:ind w:right="850"/>
        <w:jc w:val="both"/>
        <w:rPr>
          <w:rFonts w:ascii="Arial" w:hAnsi="Arial" w:cs="Arial"/>
          <w:sz w:val="24"/>
          <w:szCs w:val="24"/>
        </w:rPr>
      </w:pPr>
      <w:r>
        <w:rPr>
          <w:rFonts w:ascii="Arial" w:hAnsi="Arial" w:cs="Arial"/>
          <w:sz w:val="24"/>
          <w:szCs w:val="24"/>
        </w:rPr>
        <w:t xml:space="preserve"> </w:t>
      </w:r>
    </w:p>
    <w:p w:rsidR="006013EF" w:rsidRDefault="006013EF" w:rsidP="006013EF">
      <w:pPr>
        <w:ind w:right="850"/>
        <w:jc w:val="both"/>
        <w:rPr>
          <w:rFonts w:ascii="Arial" w:hAnsi="Arial" w:cs="Arial"/>
          <w:sz w:val="24"/>
          <w:szCs w:val="24"/>
        </w:rPr>
      </w:pPr>
      <w:r>
        <w:rPr>
          <w:rFonts w:ascii="Arial" w:hAnsi="Arial" w:cs="Arial"/>
          <w:sz w:val="24"/>
          <w:szCs w:val="24"/>
        </w:rPr>
        <w:t>En el espacio Human Age Institute-Loyola, ubicado en el Campus de Sevilla, c</w:t>
      </w:r>
      <w:r w:rsidRPr="002418D0">
        <w:rPr>
          <w:rFonts w:ascii="Arial" w:hAnsi="Arial" w:cs="Arial"/>
          <w:sz w:val="24"/>
          <w:szCs w:val="24"/>
        </w:rPr>
        <w:t xml:space="preserve">onsultores especializados </w:t>
      </w:r>
      <w:r>
        <w:rPr>
          <w:rFonts w:ascii="Arial" w:hAnsi="Arial" w:cs="Arial"/>
          <w:sz w:val="24"/>
          <w:szCs w:val="24"/>
        </w:rPr>
        <w:t xml:space="preserve">de Human Age Institute </w:t>
      </w:r>
      <w:r w:rsidRPr="002418D0">
        <w:rPr>
          <w:rFonts w:ascii="Arial" w:hAnsi="Arial" w:cs="Arial"/>
          <w:sz w:val="24"/>
          <w:szCs w:val="24"/>
        </w:rPr>
        <w:t xml:space="preserve">atenderán a los universitarios para ayudarles a encaminar su futuro laboral, en base a su formación y a sus expectativas. </w:t>
      </w:r>
    </w:p>
    <w:p w:rsidR="006013EF" w:rsidRDefault="006013EF" w:rsidP="006013EF">
      <w:pPr>
        <w:ind w:right="850"/>
        <w:jc w:val="both"/>
        <w:rPr>
          <w:rFonts w:ascii="Arial" w:hAnsi="Arial" w:cs="Arial"/>
          <w:sz w:val="24"/>
          <w:szCs w:val="24"/>
        </w:rPr>
      </w:pPr>
    </w:p>
    <w:p w:rsidR="006013EF" w:rsidRDefault="006013EF" w:rsidP="006013EF">
      <w:pPr>
        <w:ind w:right="850"/>
        <w:jc w:val="both"/>
        <w:rPr>
          <w:rFonts w:ascii="Arial" w:hAnsi="Arial" w:cs="Arial"/>
          <w:sz w:val="24"/>
          <w:szCs w:val="24"/>
        </w:rPr>
      </w:pPr>
      <w:r>
        <w:rPr>
          <w:rFonts w:ascii="Arial" w:hAnsi="Arial" w:cs="Arial"/>
          <w:sz w:val="24"/>
          <w:szCs w:val="24"/>
        </w:rPr>
        <w:t>De este modo, l</w:t>
      </w:r>
      <w:r w:rsidRPr="002418D0">
        <w:rPr>
          <w:rFonts w:ascii="Arial" w:hAnsi="Arial" w:cs="Arial"/>
          <w:sz w:val="24"/>
          <w:szCs w:val="24"/>
        </w:rPr>
        <w:t xml:space="preserve">os estudiantes tendrán acceso a un itinerario personalizado, así como a cursos, eventos exclusivos en torno a talento y carrera profesional, sesiones de orientación sobre el mercado laboral y las nuevas tendencias y herramientas para la búsqueda de empleo, todo con el fin de mejorar su </w:t>
      </w:r>
      <w:proofErr w:type="spellStart"/>
      <w:r w:rsidRPr="002418D0">
        <w:rPr>
          <w:rFonts w:ascii="Arial" w:hAnsi="Arial" w:cs="Arial"/>
          <w:sz w:val="24"/>
          <w:szCs w:val="24"/>
        </w:rPr>
        <w:t>empleabilidad</w:t>
      </w:r>
      <w:proofErr w:type="spellEnd"/>
      <w:r w:rsidRPr="002418D0">
        <w:rPr>
          <w:rFonts w:ascii="Arial" w:hAnsi="Arial" w:cs="Arial"/>
          <w:sz w:val="24"/>
          <w:szCs w:val="24"/>
        </w:rPr>
        <w:t xml:space="preserve"> e impulsar su talento.</w:t>
      </w:r>
    </w:p>
    <w:p w:rsidR="006013EF" w:rsidRDefault="006013EF" w:rsidP="006013EF">
      <w:pPr>
        <w:ind w:right="850"/>
        <w:jc w:val="both"/>
        <w:rPr>
          <w:rFonts w:ascii="Arial" w:hAnsi="Arial" w:cs="Calibri"/>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AF79D8" w:rsidRDefault="00AF79D8" w:rsidP="006013EF">
      <w:pPr>
        <w:ind w:right="850"/>
        <w:jc w:val="both"/>
        <w:rPr>
          <w:rFonts w:ascii="Arial" w:hAnsi="Arial" w:cs="Calibri"/>
          <w:b/>
          <w:sz w:val="24"/>
        </w:rPr>
      </w:pPr>
    </w:p>
    <w:p w:rsidR="006013EF" w:rsidRPr="004364D5" w:rsidRDefault="006013EF" w:rsidP="006013EF">
      <w:pPr>
        <w:ind w:right="850"/>
        <w:jc w:val="both"/>
        <w:rPr>
          <w:rFonts w:ascii="Arial" w:hAnsi="Arial" w:cs="Calibri"/>
          <w:b/>
          <w:sz w:val="24"/>
        </w:rPr>
      </w:pPr>
      <w:r w:rsidRPr="004364D5">
        <w:rPr>
          <w:rFonts w:ascii="Arial" w:hAnsi="Arial" w:cs="Calibri"/>
          <w:b/>
          <w:sz w:val="24"/>
        </w:rPr>
        <w:t>Human Age Institute</w:t>
      </w:r>
    </w:p>
    <w:p w:rsidR="006013EF" w:rsidRDefault="006013EF" w:rsidP="006013EF">
      <w:pPr>
        <w:ind w:right="850"/>
        <w:jc w:val="both"/>
        <w:rPr>
          <w:rFonts w:ascii="Arial" w:hAnsi="Arial" w:cs="Calibri"/>
          <w:sz w:val="24"/>
        </w:rPr>
      </w:pPr>
    </w:p>
    <w:p w:rsidR="00AF79D8" w:rsidRPr="00AF79D8" w:rsidRDefault="00AF79D8" w:rsidP="00AF79D8">
      <w:pPr>
        <w:ind w:right="850"/>
        <w:jc w:val="both"/>
        <w:rPr>
          <w:rFonts w:ascii="Arial" w:hAnsi="Arial" w:cs="Arial"/>
          <w:sz w:val="24"/>
          <w:szCs w:val="24"/>
        </w:rPr>
      </w:pPr>
      <w:r w:rsidRPr="00AF79D8">
        <w:rPr>
          <w:rFonts w:ascii="Arial" w:hAnsi="Arial" w:cs="Arial"/>
          <w:sz w:val="24"/>
          <w:szCs w:val="24"/>
        </w:rPr>
        <w:t xml:space="preserve">Human Age Institute es un espacio de referencia, impulsado por ManpowerGroup, donde debatir, investigar y profundizar en el ámbito del talento. Esta iniciativa sin ánimo de lucro nace en base a unas premisas claras: potenciar el impacto del talento en la sociedad; unir a las personas que hacen del talento su razón de ser; fomentar el talento creativo e innovador y contribuir a que las compañías sean más humanistas, situando el talento como motor de transformación de las organizaciones. Reconocidos expertos como Mario Alonso Puig, Jorge H. Carretero, Juan Carlos Cubeiro, Silvia Leal, José Antonio Llorente, José Antonio Marina, Juan Mateo, </w:t>
      </w:r>
      <w:proofErr w:type="spellStart"/>
      <w:r w:rsidRPr="00AF79D8">
        <w:rPr>
          <w:rFonts w:ascii="Arial" w:hAnsi="Arial" w:cs="Arial"/>
          <w:sz w:val="24"/>
          <w:szCs w:val="24"/>
        </w:rPr>
        <w:t>Inma</w:t>
      </w:r>
      <w:proofErr w:type="spellEnd"/>
      <w:r w:rsidRPr="00AF79D8">
        <w:rPr>
          <w:rFonts w:ascii="Arial" w:hAnsi="Arial" w:cs="Arial"/>
          <w:sz w:val="24"/>
          <w:szCs w:val="24"/>
        </w:rPr>
        <w:t xml:space="preserve"> Puig, Álex Rovira y Fernando Trías de Bes, apoyan como mentores esta iniciativa. Además, cuenta con la adhesión de empresas de referencia de diversos sectores económicos, con reconocido prestigio y comprometidas con las personas y su desarrollo. A través de Human Age Institute, ManpowerGroup pretende retornar a la sociedad el conocimiento de quienes creen en las personas, muestra de ellos son los programas “Talent at </w:t>
      </w:r>
      <w:proofErr w:type="spellStart"/>
      <w:r w:rsidRPr="00AF79D8">
        <w:rPr>
          <w:rFonts w:ascii="Arial" w:hAnsi="Arial" w:cs="Arial"/>
          <w:sz w:val="24"/>
          <w:szCs w:val="24"/>
        </w:rPr>
        <w:t>Work</w:t>
      </w:r>
      <w:proofErr w:type="spellEnd"/>
      <w:r w:rsidRPr="00AF79D8">
        <w:rPr>
          <w:rFonts w:ascii="Arial" w:hAnsi="Arial" w:cs="Arial"/>
          <w:sz w:val="24"/>
          <w:szCs w:val="24"/>
        </w:rPr>
        <w:t xml:space="preserve">” que pretenden mejorar las competencias y la </w:t>
      </w:r>
      <w:proofErr w:type="spellStart"/>
      <w:r w:rsidRPr="00AF79D8">
        <w:rPr>
          <w:rFonts w:ascii="Arial" w:hAnsi="Arial" w:cs="Arial"/>
          <w:sz w:val="24"/>
          <w:szCs w:val="24"/>
        </w:rPr>
        <w:t>empleabilidad</w:t>
      </w:r>
      <w:proofErr w:type="spellEnd"/>
      <w:r w:rsidRPr="00AF79D8">
        <w:rPr>
          <w:rFonts w:ascii="Arial" w:hAnsi="Arial" w:cs="Arial"/>
          <w:sz w:val="24"/>
          <w:szCs w:val="24"/>
        </w:rPr>
        <w:t xml:space="preserve"> de más de 5.000 jóvenes cada año.</w:t>
      </w:r>
    </w:p>
    <w:p w:rsidR="006013EF" w:rsidRDefault="006013EF" w:rsidP="006013EF">
      <w:pPr>
        <w:ind w:right="1417"/>
        <w:jc w:val="both"/>
        <w:rPr>
          <w:rFonts w:ascii="Arial" w:hAnsi="Arial" w:cs="Calibri"/>
          <w:sz w:val="24"/>
        </w:rPr>
      </w:pPr>
    </w:p>
    <w:p w:rsidR="006013EF" w:rsidRDefault="006013EF" w:rsidP="006013EF">
      <w:pPr>
        <w:jc w:val="both"/>
        <w:outlineLvl w:val="0"/>
      </w:pPr>
    </w:p>
    <w:p w:rsidR="00154F69" w:rsidRDefault="00154F69" w:rsidP="00C63FE7">
      <w:pPr>
        <w:ind w:right="85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182"/>
      </w:tblGrid>
      <w:tr w:rsidR="00154F69" w:rsidTr="00154F69">
        <w:tc>
          <w:tcPr>
            <w:tcW w:w="4998" w:type="dxa"/>
          </w:tcPr>
          <w:p w:rsidR="00154F69" w:rsidRPr="004578EC" w:rsidRDefault="00154F69" w:rsidP="00154F69">
            <w:pPr>
              <w:jc w:val="both"/>
              <w:rPr>
                <w:b/>
                <w:sz w:val="18"/>
                <w:szCs w:val="18"/>
              </w:rPr>
            </w:pPr>
            <w:r w:rsidRPr="004578EC">
              <w:rPr>
                <w:b/>
                <w:sz w:val="18"/>
                <w:szCs w:val="18"/>
              </w:rPr>
              <w:t>Comunicación Human Age Institute</w:t>
            </w:r>
          </w:p>
          <w:p w:rsidR="00154F69" w:rsidRPr="004578EC" w:rsidRDefault="00154F69" w:rsidP="00154F69">
            <w:pPr>
              <w:jc w:val="both"/>
              <w:rPr>
                <w:sz w:val="18"/>
                <w:szCs w:val="18"/>
              </w:rPr>
            </w:pPr>
            <w:r w:rsidRPr="004578EC">
              <w:rPr>
                <w:sz w:val="18"/>
                <w:szCs w:val="18"/>
              </w:rPr>
              <w:t>Gala Díaz</w:t>
            </w:r>
          </w:p>
          <w:p w:rsidR="00154F69" w:rsidRPr="004578EC" w:rsidRDefault="00154F69" w:rsidP="00154F69">
            <w:pPr>
              <w:jc w:val="both"/>
              <w:rPr>
                <w:sz w:val="18"/>
                <w:szCs w:val="18"/>
                <w:u w:val="single"/>
              </w:rPr>
            </w:pPr>
            <w:r w:rsidRPr="004578EC">
              <w:rPr>
                <w:sz w:val="18"/>
                <w:szCs w:val="18"/>
              </w:rPr>
              <w:t xml:space="preserve">+34 678 643 113 – </w:t>
            </w:r>
            <w:hyperlink r:id="rId8" w:history="1">
              <w:r w:rsidRPr="004578EC">
                <w:rPr>
                  <w:rStyle w:val="Hipervnculo"/>
                  <w:sz w:val="18"/>
                  <w:szCs w:val="18"/>
                </w:rPr>
                <w:t>gala.diaz@manpowergroup.es</w:t>
              </w:r>
            </w:hyperlink>
            <w:r w:rsidRPr="004578EC">
              <w:rPr>
                <w:rStyle w:val="Hipervnculo"/>
                <w:sz w:val="18"/>
                <w:szCs w:val="18"/>
              </w:rPr>
              <w:t xml:space="preserve">  </w:t>
            </w:r>
          </w:p>
          <w:p w:rsidR="00154F69" w:rsidRDefault="00154F69" w:rsidP="00C63FE7">
            <w:pPr>
              <w:ind w:right="850"/>
              <w:jc w:val="both"/>
              <w:rPr>
                <w:rFonts w:ascii="Arial" w:hAnsi="Arial" w:cs="Arial"/>
                <w:szCs w:val="24"/>
              </w:rPr>
            </w:pPr>
          </w:p>
          <w:p w:rsidR="00C36A51" w:rsidRPr="004578EC" w:rsidRDefault="00C36A51" w:rsidP="00C36A51">
            <w:pPr>
              <w:jc w:val="both"/>
              <w:rPr>
                <w:b/>
                <w:sz w:val="18"/>
                <w:szCs w:val="18"/>
              </w:rPr>
            </w:pPr>
            <w:r w:rsidRPr="004578EC">
              <w:rPr>
                <w:b/>
                <w:sz w:val="18"/>
                <w:szCs w:val="18"/>
              </w:rPr>
              <w:t xml:space="preserve">Comunicación </w:t>
            </w:r>
            <w:r>
              <w:rPr>
                <w:b/>
                <w:sz w:val="18"/>
                <w:szCs w:val="18"/>
              </w:rPr>
              <w:t>Universidad Loyola Andalucía</w:t>
            </w:r>
          </w:p>
          <w:p w:rsidR="00C36A51" w:rsidRDefault="00C36A51" w:rsidP="00C36A51">
            <w:pPr>
              <w:jc w:val="both"/>
              <w:rPr>
                <w:sz w:val="18"/>
                <w:szCs w:val="18"/>
              </w:rPr>
            </w:pPr>
            <w:r>
              <w:rPr>
                <w:sz w:val="18"/>
                <w:szCs w:val="18"/>
              </w:rPr>
              <w:t xml:space="preserve">Nuria Gordillo – </w:t>
            </w:r>
            <w:hyperlink r:id="rId9" w:history="1">
              <w:r w:rsidRPr="00974AF9">
                <w:rPr>
                  <w:rStyle w:val="Hipervnculo"/>
                  <w:sz w:val="18"/>
                  <w:szCs w:val="18"/>
                </w:rPr>
                <w:t>ngordillo@uloyola.es</w:t>
              </w:r>
            </w:hyperlink>
            <w:r>
              <w:rPr>
                <w:sz w:val="18"/>
                <w:szCs w:val="18"/>
              </w:rPr>
              <w:t xml:space="preserve"> - 678025108</w:t>
            </w:r>
          </w:p>
          <w:p w:rsidR="00C36A51" w:rsidRPr="004578EC" w:rsidRDefault="00C36A51" w:rsidP="00C36A51">
            <w:pPr>
              <w:jc w:val="both"/>
              <w:rPr>
                <w:sz w:val="18"/>
                <w:szCs w:val="18"/>
              </w:rPr>
            </w:pPr>
            <w:r>
              <w:rPr>
                <w:sz w:val="18"/>
                <w:szCs w:val="18"/>
              </w:rPr>
              <w:t xml:space="preserve">Javier Burrero – </w:t>
            </w:r>
            <w:hyperlink r:id="rId10" w:history="1">
              <w:r w:rsidRPr="00974AF9">
                <w:rPr>
                  <w:rStyle w:val="Hipervnculo"/>
                  <w:sz w:val="18"/>
                  <w:szCs w:val="18"/>
                </w:rPr>
                <w:t>fjburrero@uloyola.es</w:t>
              </w:r>
            </w:hyperlink>
            <w:r>
              <w:rPr>
                <w:sz w:val="18"/>
                <w:szCs w:val="18"/>
              </w:rPr>
              <w:t xml:space="preserve"> - 955 641 600</w:t>
            </w:r>
          </w:p>
          <w:p w:rsidR="00C36A51" w:rsidRDefault="00C36A51" w:rsidP="00C36A51">
            <w:pPr>
              <w:jc w:val="both"/>
              <w:rPr>
                <w:rFonts w:ascii="Arial" w:hAnsi="Arial" w:cs="Arial"/>
                <w:szCs w:val="24"/>
              </w:rPr>
            </w:pPr>
          </w:p>
        </w:tc>
        <w:tc>
          <w:tcPr>
            <w:tcW w:w="4182" w:type="dxa"/>
          </w:tcPr>
          <w:p w:rsidR="00154F69" w:rsidRDefault="00154F69" w:rsidP="00154F69">
            <w:pPr>
              <w:jc w:val="right"/>
              <w:rPr>
                <w:rFonts w:ascii="Arial" w:hAnsi="Arial" w:cs="Arial"/>
                <w:szCs w:val="24"/>
              </w:rPr>
            </w:pPr>
          </w:p>
        </w:tc>
      </w:tr>
    </w:tbl>
    <w:p w:rsidR="00154F69" w:rsidRPr="00C63FE7" w:rsidRDefault="00154F69" w:rsidP="00C63FE7">
      <w:pPr>
        <w:ind w:right="850"/>
        <w:jc w:val="both"/>
        <w:rPr>
          <w:rFonts w:ascii="Arial" w:hAnsi="Arial" w:cs="Arial"/>
          <w:szCs w:val="24"/>
        </w:rPr>
      </w:pPr>
    </w:p>
    <w:sectPr w:rsidR="00154F69" w:rsidRPr="00C63FE7" w:rsidSect="008F6FAF">
      <w:headerReference w:type="default" r:id="rId11"/>
      <w:footerReference w:type="default" r:id="rId12"/>
      <w:headerReference w:type="first" r:id="rId13"/>
      <w:footerReference w:type="first" r:id="rId14"/>
      <w:pgSz w:w="11906" w:h="16838"/>
      <w:pgMar w:top="1524" w:right="424" w:bottom="1843" w:left="1701" w:header="285" w:footer="3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B4" w:rsidRDefault="005A08B4" w:rsidP="008932D0">
      <w:r>
        <w:separator/>
      </w:r>
    </w:p>
  </w:endnote>
  <w:endnote w:type="continuationSeparator" w:id="0">
    <w:p w:rsidR="005A08B4" w:rsidRDefault="005A08B4" w:rsidP="008932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B4" w:rsidRDefault="005A08B4">
    <w:pPr>
      <w:pStyle w:val="Piedepgina"/>
    </w:pPr>
    <w:r w:rsidRPr="00063489">
      <w:rPr>
        <w:noProof/>
        <w:lang w:eastAsia="es-ES"/>
      </w:rPr>
      <w:drawing>
        <wp:inline distT="0" distB="0" distL="0" distR="0">
          <wp:extent cx="5657850" cy="751822"/>
          <wp:effectExtent l="0" t="0" r="0" b="0"/>
          <wp:docPr id="10" name="Imagen 4" descr="http://static.mdirector.com/files/campanias/1783/userfiles/images/footer%202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mdirector.com/files/campanias/1783/userfiles/images/footer%2027_0(2).jpg"/>
                  <pic:cNvPicPr>
                    <a:picLocks noChangeAspect="1" noChangeArrowheads="1"/>
                  </pic:cNvPicPr>
                </pic:nvPicPr>
                <pic:blipFill>
                  <a:blip r:embed="rId1" cstate="print"/>
                  <a:srcRect/>
                  <a:stretch>
                    <a:fillRect/>
                  </a:stretch>
                </pic:blipFill>
                <pic:spPr bwMode="auto">
                  <a:xfrm>
                    <a:off x="0" y="0"/>
                    <a:ext cx="5655919" cy="75156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B4" w:rsidRDefault="005A08B4">
    <w:pPr>
      <w:pStyle w:val="Piedepgina"/>
    </w:pPr>
    <w:r w:rsidRPr="00063489">
      <w:rPr>
        <w:noProof/>
        <w:lang w:eastAsia="es-ES"/>
      </w:rPr>
      <w:drawing>
        <wp:inline distT="0" distB="0" distL="0" distR="0">
          <wp:extent cx="5657850" cy="751822"/>
          <wp:effectExtent l="0" t="0" r="0" b="0"/>
          <wp:docPr id="7" name="Imagen 4" descr="http://static.mdirector.com/files/campanias/1783/userfiles/images/footer%2027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mdirector.com/files/campanias/1783/userfiles/images/footer%2027_0(2).jpg"/>
                  <pic:cNvPicPr>
                    <a:picLocks noChangeAspect="1" noChangeArrowheads="1"/>
                  </pic:cNvPicPr>
                </pic:nvPicPr>
                <pic:blipFill>
                  <a:blip r:embed="rId1" cstate="print"/>
                  <a:srcRect/>
                  <a:stretch>
                    <a:fillRect/>
                  </a:stretch>
                </pic:blipFill>
                <pic:spPr bwMode="auto">
                  <a:xfrm>
                    <a:off x="0" y="0"/>
                    <a:ext cx="5655919" cy="7515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B4" w:rsidRDefault="005A08B4" w:rsidP="008932D0">
      <w:r>
        <w:separator/>
      </w:r>
    </w:p>
  </w:footnote>
  <w:footnote w:type="continuationSeparator" w:id="0">
    <w:p w:rsidR="005A08B4" w:rsidRDefault="005A08B4" w:rsidP="00893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463"/>
      <w:gridCol w:w="4464"/>
    </w:tblGrid>
    <w:tr w:rsidR="005A08B4" w:rsidTr="006013EF">
      <w:trPr>
        <w:trHeight w:val="1140"/>
      </w:trPr>
      <w:tc>
        <w:tcPr>
          <w:tcW w:w="4463" w:type="dxa"/>
          <w:vAlign w:val="center"/>
        </w:tcPr>
        <w:p w:rsidR="005A08B4" w:rsidRDefault="005A08B4" w:rsidP="006013EF">
          <w:pPr>
            <w:pStyle w:val="Encabezado"/>
          </w:pPr>
          <w:r>
            <w:rPr>
              <w:noProof/>
              <w:lang w:eastAsia="es-ES"/>
            </w:rPr>
            <w:drawing>
              <wp:inline distT="0" distB="0" distL="0" distR="0">
                <wp:extent cx="1427950" cy="590550"/>
                <wp:effectExtent l="0" t="0" r="0" b="0"/>
                <wp:docPr id="8" name="5 Imagen" descr="Nuevo_logo_Human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logo_HumanAge-02.png"/>
                        <pic:cNvPicPr/>
                      </pic:nvPicPr>
                      <pic:blipFill>
                        <a:blip r:embed="rId1"/>
                        <a:stretch>
                          <a:fillRect/>
                        </a:stretch>
                      </pic:blipFill>
                      <pic:spPr>
                        <a:xfrm>
                          <a:off x="0" y="0"/>
                          <a:ext cx="1437168" cy="594362"/>
                        </a:xfrm>
                        <a:prstGeom prst="rect">
                          <a:avLst/>
                        </a:prstGeom>
                      </pic:spPr>
                    </pic:pic>
                  </a:graphicData>
                </a:graphic>
              </wp:inline>
            </w:drawing>
          </w:r>
        </w:p>
      </w:tc>
      <w:tc>
        <w:tcPr>
          <w:tcW w:w="4464" w:type="dxa"/>
          <w:vAlign w:val="center"/>
        </w:tcPr>
        <w:p w:rsidR="005A08B4" w:rsidRPr="001B3BDB" w:rsidRDefault="005A08B4" w:rsidP="006013EF">
          <w:pPr>
            <w:pStyle w:val="Encabezado"/>
            <w:jc w:val="right"/>
            <w:rPr>
              <w:b/>
            </w:rPr>
          </w:pPr>
          <w:r>
            <w:rPr>
              <w:noProof/>
              <w:lang w:eastAsia="es-ES"/>
            </w:rPr>
            <w:drawing>
              <wp:inline distT="0" distB="0" distL="0" distR="0">
                <wp:extent cx="1420495" cy="395066"/>
                <wp:effectExtent l="0" t="0" r="1905" b="114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0719" cy="395128"/>
                        </a:xfrm>
                        <a:prstGeom prst="rect">
                          <a:avLst/>
                        </a:prstGeom>
                        <a:noFill/>
                        <a:ln>
                          <a:noFill/>
                        </a:ln>
                      </pic:spPr>
                    </pic:pic>
                  </a:graphicData>
                </a:graphic>
              </wp:inline>
            </w:drawing>
          </w:r>
        </w:p>
      </w:tc>
    </w:tr>
  </w:tbl>
  <w:p w:rsidR="005A08B4" w:rsidRDefault="005A08B4">
    <w:pPr>
      <w:pStyle w:val="Encabezado"/>
      <w:rPr>
        <w:noProof/>
        <w:lang w:eastAsia="es-ES"/>
      </w:rPr>
    </w:pPr>
  </w:p>
  <w:p w:rsidR="005A08B4" w:rsidRDefault="005A08B4">
    <w:pPr>
      <w:pStyle w:val="Encabezado"/>
    </w:pPr>
    <w:r>
      <w:rPr>
        <w:noProof/>
        <w:lang w:eastAsia="es-ES"/>
      </w:rPr>
      <w:drawing>
        <wp:inline distT="0" distB="0" distL="0" distR="0">
          <wp:extent cx="7561905" cy="10695239"/>
          <wp:effectExtent l="19050" t="0" r="945" b="0"/>
          <wp:docPr id="3" name="2 Imagen" descr="Etea- Fondo pagina 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ea- Fondo pagina word2.png"/>
                  <pic:cNvPicPr/>
                </pic:nvPicPr>
                <pic:blipFill>
                  <a:blip r:embed="rId3"/>
                  <a:stretch>
                    <a:fillRect/>
                  </a:stretch>
                </pic:blipFill>
                <pic:spPr>
                  <a:xfrm>
                    <a:off x="0" y="0"/>
                    <a:ext cx="7561905" cy="10695239"/>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463"/>
      <w:gridCol w:w="4464"/>
    </w:tblGrid>
    <w:tr w:rsidR="005A08B4" w:rsidTr="008F6FAF">
      <w:trPr>
        <w:trHeight w:val="1140"/>
      </w:trPr>
      <w:tc>
        <w:tcPr>
          <w:tcW w:w="4463" w:type="dxa"/>
          <w:vAlign w:val="center"/>
        </w:tcPr>
        <w:p w:rsidR="005A08B4" w:rsidRDefault="005A08B4" w:rsidP="006013EF">
          <w:pPr>
            <w:pStyle w:val="Encabezado"/>
          </w:pPr>
          <w:r>
            <w:rPr>
              <w:noProof/>
              <w:lang w:eastAsia="es-ES"/>
            </w:rPr>
            <w:drawing>
              <wp:inline distT="0" distB="0" distL="0" distR="0">
                <wp:extent cx="1427950" cy="590550"/>
                <wp:effectExtent l="0" t="0" r="0" b="0"/>
                <wp:docPr id="6" name="5 Imagen" descr="Nuevo_logo_Human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_logo_HumanAge-02.png"/>
                        <pic:cNvPicPr/>
                      </pic:nvPicPr>
                      <pic:blipFill>
                        <a:blip r:embed="rId1"/>
                        <a:stretch>
                          <a:fillRect/>
                        </a:stretch>
                      </pic:blipFill>
                      <pic:spPr>
                        <a:xfrm>
                          <a:off x="0" y="0"/>
                          <a:ext cx="1437168" cy="594362"/>
                        </a:xfrm>
                        <a:prstGeom prst="rect">
                          <a:avLst/>
                        </a:prstGeom>
                      </pic:spPr>
                    </pic:pic>
                  </a:graphicData>
                </a:graphic>
              </wp:inline>
            </w:drawing>
          </w:r>
        </w:p>
      </w:tc>
      <w:tc>
        <w:tcPr>
          <w:tcW w:w="4464" w:type="dxa"/>
          <w:vAlign w:val="center"/>
        </w:tcPr>
        <w:p w:rsidR="005A08B4" w:rsidRDefault="005A08B4" w:rsidP="006013EF">
          <w:pPr>
            <w:pStyle w:val="Encabezado"/>
            <w:jc w:val="right"/>
          </w:pPr>
          <w:r>
            <w:rPr>
              <w:noProof/>
              <w:lang w:eastAsia="es-ES"/>
            </w:rPr>
            <w:drawing>
              <wp:inline distT="0" distB="0" distL="0" distR="0">
                <wp:extent cx="1420495" cy="395066"/>
                <wp:effectExtent l="0" t="0" r="1905"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0719" cy="395128"/>
                        </a:xfrm>
                        <a:prstGeom prst="rect">
                          <a:avLst/>
                        </a:prstGeom>
                        <a:noFill/>
                        <a:ln>
                          <a:noFill/>
                        </a:ln>
                      </pic:spPr>
                    </pic:pic>
                  </a:graphicData>
                </a:graphic>
              </wp:inline>
            </w:drawing>
          </w:r>
        </w:p>
      </w:tc>
    </w:tr>
  </w:tbl>
  <w:p w:rsidR="005A08B4" w:rsidRDefault="005A08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60D"/>
    <w:multiLevelType w:val="hybridMultilevel"/>
    <w:tmpl w:val="C40E0902"/>
    <w:lvl w:ilvl="0" w:tplc="CD7A5E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DD4D3F"/>
    <w:multiLevelType w:val="hybridMultilevel"/>
    <w:tmpl w:val="430A3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8932D0"/>
    <w:rsid w:val="00047D4D"/>
    <w:rsid w:val="00051DCE"/>
    <w:rsid w:val="00095FBB"/>
    <w:rsid w:val="00144409"/>
    <w:rsid w:val="00154F69"/>
    <w:rsid w:val="001B3BDB"/>
    <w:rsid w:val="00207848"/>
    <w:rsid w:val="00211870"/>
    <w:rsid w:val="00224FF0"/>
    <w:rsid w:val="00240BE7"/>
    <w:rsid w:val="002418D0"/>
    <w:rsid w:val="003234A1"/>
    <w:rsid w:val="003470AE"/>
    <w:rsid w:val="003C644D"/>
    <w:rsid w:val="004364D5"/>
    <w:rsid w:val="00451F88"/>
    <w:rsid w:val="00476405"/>
    <w:rsid w:val="004765ED"/>
    <w:rsid w:val="00482BD2"/>
    <w:rsid w:val="004C5405"/>
    <w:rsid w:val="004C7545"/>
    <w:rsid w:val="00562878"/>
    <w:rsid w:val="0057374B"/>
    <w:rsid w:val="005A08B4"/>
    <w:rsid w:val="005E65F3"/>
    <w:rsid w:val="006013EF"/>
    <w:rsid w:val="00646244"/>
    <w:rsid w:val="00690F0D"/>
    <w:rsid w:val="00777F5F"/>
    <w:rsid w:val="007A5490"/>
    <w:rsid w:val="007B6AD1"/>
    <w:rsid w:val="007D5994"/>
    <w:rsid w:val="007E682A"/>
    <w:rsid w:val="00831AA1"/>
    <w:rsid w:val="0085094E"/>
    <w:rsid w:val="008932D0"/>
    <w:rsid w:val="008C177F"/>
    <w:rsid w:val="008D4155"/>
    <w:rsid w:val="008F6FAF"/>
    <w:rsid w:val="009344FC"/>
    <w:rsid w:val="009A5D7F"/>
    <w:rsid w:val="009D5F30"/>
    <w:rsid w:val="009F6597"/>
    <w:rsid w:val="00A237E2"/>
    <w:rsid w:val="00A30FE9"/>
    <w:rsid w:val="00A62571"/>
    <w:rsid w:val="00A91507"/>
    <w:rsid w:val="00AA3498"/>
    <w:rsid w:val="00AC3A11"/>
    <w:rsid w:val="00AF79D8"/>
    <w:rsid w:val="00B52E82"/>
    <w:rsid w:val="00B67BC9"/>
    <w:rsid w:val="00BD46C0"/>
    <w:rsid w:val="00BF411E"/>
    <w:rsid w:val="00BF4E45"/>
    <w:rsid w:val="00C2433B"/>
    <w:rsid w:val="00C34847"/>
    <w:rsid w:val="00C36A51"/>
    <w:rsid w:val="00C600DD"/>
    <w:rsid w:val="00C63FE7"/>
    <w:rsid w:val="00D03F08"/>
    <w:rsid w:val="00D05B9B"/>
    <w:rsid w:val="00DE304D"/>
    <w:rsid w:val="00E27A70"/>
    <w:rsid w:val="00E35073"/>
    <w:rsid w:val="00E36860"/>
    <w:rsid w:val="00E77D4F"/>
    <w:rsid w:val="00E8176E"/>
    <w:rsid w:val="00EA04F7"/>
    <w:rsid w:val="00EC7252"/>
    <w:rsid w:val="00EE49A6"/>
    <w:rsid w:val="00F62C2F"/>
    <w:rsid w:val="00F76D75"/>
    <w:rsid w:val="00FD37FF"/>
    <w:rsid w:val="00FF1164"/>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32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2D0"/>
    <w:rPr>
      <w:rFonts w:ascii="Tahoma" w:hAnsi="Tahoma" w:cs="Tahoma"/>
      <w:sz w:val="16"/>
      <w:szCs w:val="16"/>
    </w:rPr>
  </w:style>
  <w:style w:type="paragraph" w:styleId="Encabezado">
    <w:name w:val="header"/>
    <w:basedOn w:val="Normal"/>
    <w:link w:val="EncabezadoCar"/>
    <w:uiPriority w:val="99"/>
    <w:unhideWhenUsed/>
    <w:rsid w:val="008932D0"/>
    <w:pPr>
      <w:tabs>
        <w:tab w:val="center" w:pos="4252"/>
        <w:tab w:val="right" w:pos="8504"/>
      </w:tabs>
    </w:pPr>
  </w:style>
  <w:style w:type="character" w:customStyle="1" w:styleId="EncabezadoCar">
    <w:name w:val="Encabezado Car"/>
    <w:basedOn w:val="Fuentedeprrafopredeter"/>
    <w:link w:val="Encabezado"/>
    <w:uiPriority w:val="99"/>
    <w:rsid w:val="008932D0"/>
  </w:style>
  <w:style w:type="paragraph" w:styleId="Piedepgina">
    <w:name w:val="footer"/>
    <w:basedOn w:val="Normal"/>
    <w:link w:val="PiedepginaCar"/>
    <w:uiPriority w:val="99"/>
    <w:unhideWhenUsed/>
    <w:rsid w:val="008932D0"/>
    <w:pPr>
      <w:tabs>
        <w:tab w:val="center" w:pos="4252"/>
        <w:tab w:val="right" w:pos="8504"/>
      </w:tabs>
    </w:pPr>
  </w:style>
  <w:style w:type="character" w:customStyle="1" w:styleId="PiedepginaCar">
    <w:name w:val="Pie de página Car"/>
    <w:basedOn w:val="Fuentedeprrafopredeter"/>
    <w:link w:val="Piedepgina"/>
    <w:uiPriority w:val="99"/>
    <w:rsid w:val="008932D0"/>
  </w:style>
  <w:style w:type="paragraph" w:styleId="Mapadeldocumento">
    <w:name w:val="Document Map"/>
    <w:basedOn w:val="Normal"/>
    <w:link w:val="MapadeldocumentoCar"/>
    <w:uiPriority w:val="99"/>
    <w:semiHidden/>
    <w:unhideWhenUsed/>
    <w:rsid w:val="00E35073"/>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E35073"/>
    <w:rPr>
      <w:rFonts w:ascii="Lucida Grande" w:hAnsi="Lucida Grande"/>
      <w:sz w:val="24"/>
      <w:szCs w:val="24"/>
    </w:rPr>
  </w:style>
  <w:style w:type="paragraph" w:styleId="NormalWeb">
    <w:name w:val="Normal (Web)"/>
    <w:basedOn w:val="Normal"/>
    <w:uiPriority w:val="99"/>
    <w:unhideWhenUsed/>
    <w:rsid w:val="0085094E"/>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unhideWhenUsed/>
    <w:rsid w:val="0085094E"/>
    <w:rPr>
      <w:color w:val="0000FF"/>
      <w:u w:val="single"/>
    </w:rPr>
  </w:style>
  <w:style w:type="character" w:styleId="Hipervnculovisitado">
    <w:name w:val="FollowedHyperlink"/>
    <w:basedOn w:val="Fuentedeprrafopredeter"/>
    <w:uiPriority w:val="99"/>
    <w:semiHidden/>
    <w:unhideWhenUsed/>
    <w:rsid w:val="00D03F08"/>
    <w:rPr>
      <w:color w:val="800080" w:themeColor="followedHyperlink"/>
      <w:u w:val="single"/>
    </w:rPr>
  </w:style>
  <w:style w:type="paragraph" w:styleId="Prrafodelista">
    <w:name w:val="List Paragraph"/>
    <w:basedOn w:val="Normal"/>
    <w:uiPriority w:val="34"/>
    <w:qFormat/>
    <w:rsid w:val="002418D0"/>
    <w:pPr>
      <w:ind w:left="720"/>
      <w:contextualSpacing/>
    </w:pPr>
  </w:style>
  <w:style w:type="table" w:styleId="Tablaconcuadrcula">
    <w:name w:val="Table Grid"/>
    <w:basedOn w:val="Tablanormal"/>
    <w:uiPriority w:val="39"/>
    <w:rsid w:val="008F6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32D0"/>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2D0"/>
    <w:rPr>
      <w:rFonts w:ascii="Tahoma" w:hAnsi="Tahoma" w:cs="Tahoma"/>
      <w:sz w:val="16"/>
      <w:szCs w:val="16"/>
    </w:rPr>
  </w:style>
  <w:style w:type="paragraph" w:styleId="Encabezado">
    <w:name w:val="header"/>
    <w:basedOn w:val="Normal"/>
    <w:link w:val="EncabezadoCar"/>
    <w:uiPriority w:val="99"/>
    <w:unhideWhenUsed/>
    <w:rsid w:val="008932D0"/>
    <w:pPr>
      <w:tabs>
        <w:tab w:val="center" w:pos="4252"/>
        <w:tab w:val="right" w:pos="8504"/>
      </w:tabs>
    </w:pPr>
  </w:style>
  <w:style w:type="character" w:customStyle="1" w:styleId="EncabezadoCar">
    <w:name w:val="Encabezado Car"/>
    <w:basedOn w:val="Fuentedeprrafopredeter"/>
    <w:link w:val="Encabezado"/>
    <w:uiPriority w:val="99"/>
    <w:rsid w:val="008932D0"/>
  </w:style>
  <w:style w:type="paragraph" w:styleId="Piedepgina">
    <w:name w:val="footer"/>
    <w:basedOn w:val="Normal"/>
    <w:link w:val="PiedepginaCar"/>
    <w:uiPriority w:val="99"/>
    <w:unhideWhenUsed/>
    <w:rsid w:val="008932D0"/>
    <w:pPr>
      <w:tabs>
        <w:tab w:val="center" w:pos="4252"/>
        <w:tab w:val="right" w:pos="8504"/>
      </w:tabs>
    </w:pPr>
  </w:style>
  <w:style w:type="character" w:customStyle="1" w:styleId="PiedepginaCar">
    <w:name w:val="Pie de página Car"/>
    <w:basedOn w:val="Fuentedeprrafopredeter"/>
    <w:link w:val="Piedepgina"/>
    <w:uiPriority w:val="99"/>
    <w:rsid w:val="008932D0"/>
  </w:style>
  <w:style w:type="paragraph" w:styleId="Mapadeldocumento">
    <w:name w:val="Document Map"/>
    <w:basedOn w:val="Normal"/>
    <w:link w:val="MapadeldocumentoCar"/>
    <w:uiPriority w:val="99"/>
    <w:semiHidden/>
    <w:unhideWhenUsed/>
    <w:rsid w:val="00E35073"/>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E35073"/>
    <w:rPr>
      <w:rFonts w:ascii="Lucida Grande" w:hAnsi="Lucida Grande"/>
      <w:sz w:val="24"/>
      <w:szCs w:val="24"/>
    </w:rPr>
  </w:style>
  <w:style w:type="paragraph" w:styleId="NormalWeb">
    <w:name w:val="Normal (Web)"/>
    <w:basedOn w:val="Normal"/>
    <w:uiPriority w:val="99"/>
    <w:unhideWhenUsed/>
    <w:rsid w:val="0085094E"/>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uiPriority w:val="99"/>
    <w:unhideWhenUsed/>
    <w:rsid w:val="0085094E"/>
    <w:rPr>
      <w:color w:val="0000FF"/>
      <w:u w:val="single"/>
    </w:rPr>
  </w:style>
  <w:style w:type="character" w:styleId="Hipervnculovisitado">
    <w:name w:val="FollowedHyperlink"/>
    <w:basedOn w:val="Fuentedeprrafopredeter"/>
    <w:uiPriority w:val="99"/>
    <w:semiHidden/>
    <w:unhideWhenUsed/>
    <w:rsid w:val="00D03F08"/>
    <w:rPr>
      <w:color w:val="800080" w:themeColor="followedHyperlink"/>
      <w:u w:val="single"/>
    </w:rPr>
  </w:style>
  <w:style w:type="paragraph" w:styleId="Prrafodelista">
    <w:name w:val="List Paragraph"/>
    <w:basedOn w:val="Normal"/>
    <w:uiPriority w:val="34"/>
    <w:qFormat/>
    <w:rsid w:val="002418D0"/>
    <w:pPr>
      <w:ind w:left="720"/>
      <w:contextualSpacing/>
    </w:pPr>
  </w:style>
  <w:style w:type="table" w:styleId="Tablaconcuadrcula">
    <w:name w:val="Table Grid"/>
    <w:basedOn w:val="Tablanormal"/>
    <w:uiPriority w:val="39"/>
    <w:rsid w:val="008F6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341109">
      <w:bodyDiv w:val="1"/>
      <w:marLeft w:val="0"/>
      <w:marRight w:val="0"/>
      <w:marTop w:val="0"/>
      <w:marBottom w:val="0"/>
      <w:divBdr>
        <w:top w:val="none" w:sz="0" w:space="0" w:color="auto"/>
        <w:left w:val="none" w:sz="0" w:space="0" w:color="auto"/>
        <w:bottom w:val="none" w:sz="0" w:space="0" w:color="auto"/>
        <w:right w:val="none" w:sz="0" w:space="0" w:color="auto"/>
      </w:divBdr>
    </w:div>
    <w:div w:id="471138548">
      <w:bodyDiv w:val="1"/>
      <w:marLeft w:val="0"/>
      <w:marRight w:val="0"/>
      <w:marTop w:val="0"/>
      <w:marBottom w:val="0"/>
      <w:divBdr>
        <w:top w:val="none" w:sz="0" w:space="0" w:color="auto"/>
        <w:left w:val="none" w:sz="0" w:space="0" w:color="auto"/>
        <w:bottom w:val="none" w:sz="0" w:space="0" w:color="auto"/>
        <w:right w:val="none" w:sz="0" w:space="0" w:color="auto"/>
      </w:divBdr>
    </w:div>
    <w:div w:id="716051987">
      <w:bodyDiv w:val="1"/>
      <w:marLeft w:val="0"/>
      <w:marRight w:val="0"/>
      <w:marTop w:val="0"/>
      <w:marBottom w:val="0"/>
      <w:divBdr>
        <w:top w:val="none" w:sz="0" w:space="0" w:color="auto"/>
        <w:left w:val="none" w:sz="0" w:space="0" w:color="auto"/>
        <w:bottom w:val="none" w:sz="0" w:space="0" w:color="auto"/>
        <w:right w:val="none" w:sz="0" w:space="0" w:color="auto"/>
      </w:divBdr>
    </w:div>
    <w:div w:id="1133526167">
      <w:bodyDiv w:val="1"/>
      <w:marLeft w:val="0"/>
      <w:marRight w:val="0"/>
      <w:marTop w:val="0"/>
      <w:marBottom w:val="0"/>
      <w:divBdr>
        <w:top w:val="none" w:sz="0" w:space="0" w:color="auto"/>
        <w:left w:val="none" w:sz="0" w:space="0" w:color="auto"/>
        <w:bottom w:val="none" w:sz="0" w:space="0" w:color="auto"/>
        <w:right w:val="none" w:sz="0" w:space="0" w:color="auto"/>
      </w:divBdr>
    </w:div>
    <w:div w:id="19586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a.diaz@manpowergroup.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jburrero@uloyola.es" TargetMode="External"/><Relationship Id="rId4" Type="http://schemas.openxmlformats.org/officeDocument/2006/relationships/settings" Target="settings.xml"/><Relationship Id="rId9" Type="http://schemas.openxmlformats.org/officeDocument/2006/relationships/hyperlink" Target="mailto:ngordillo@uloyola.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593F-D2E7-4BE4-AE43-6B89790E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MANPOWER</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Gala Diaz Curiel (Content Specialist)</cp:lastModifiedBy>
  <cp:revision>4</cp:revision>
  <cp:lastPrinted>2016-03-09T16:22:00Z</cp:lastPrinted>
  <dcterms:created xsi:type="dcterms:W3CDTF">2016-11-28T10:29:00Z</dcterms:created>
  <dcterms:modified xsi:type="dcterms:W3CDTF">2016-11-30T13:51:00Z</dcterms:modified>
</cp:coreProperties>
</file>